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1C4FE6EA" w14:textId="77777777" w:rsidTr="0047741D">
        <w:trPr>
          <w:gridAfter w:val="1"/>
          <w:wAfter w:w="2835" w:type="dxa"/>
          <w:cantSplit/>
          <w:trHeight w:val="569"/>
        </w:trPr>
        <w:tc>
          <w:tcPr>
            <w:tcW w:w="4786" w:type="dxa"/>
            <w:shd w:val="clear" w:color="auto" w:fill="BFBFBF"/>
            <w:vAlign w:val="center"/>
          </w:tcPr>
          <w:p w14:paraId="0F452097" w14:textId="77777777" w:rsidR="002F5C5E" w:rsidRPr="009E2B84" w:rsidRDefault="001E4B07"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3148C045" wp14:editId="4F04F46D">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69FFFB13" w14:textId="77777777" w:rsidR="002F5C5E" w:rsidRPr="009E2B84" w:rsidRDefault="002F5C5E" w:rsidP="00AC4A99">
            <w:pPr>
              <w:jc w:val="center"/>
              <w:rPr>
                <w:b/>
              </w:rPr>
            </w:pPr>
            <w:r w:rsidRPr="009E2B84">
              <w:rPr>
                <w:b/>
              </w:rPr>
              <w:t>ON</w:t>
            </w:r>
          </w:p>
        </w:tc>
      </w:tr>
      <w:tr w:rsidR="002F5C5E" w:rsidRPr="009E2B84" w14:paraId="2744B24E" w14:textId="77777777" w:rsidTr="0047741D">
        <w:trPr>
          <w:gridAfter w:val="1"/>
          <w:wAfter w:w="2835" w:type="dxa"/>
          <w:cantSplit/>
          <w:trHeight w:val="654"/>
        </w:trPr>
        <w:tc>
          <w:tcPr>
            <w:tcW w:w="4786" w:type="dxa"/>
            <w:tcBorders>
              <w:bottom w:val="nil"/>
            </w:tcBorders>
            <w:vAlign w:val="center"/>
          </w:tcPr>
          <w:p w14:paraId="405A5EC6" w14:textId="46A06C7A" w:rsidR="002F5C5E" w:rsidRPr="00BE2A3F" w:rsidRDefault="004205FE" w:rsidP="001E323B">
            <w:pPr>
              <w:jc w:val="center"/>
              <w:rPr>
                <w:b/>
                <w:szCs w:val="22"/>
              </w:rPr>
            </w:pPr>
            <w:r>
              <w:rPr>
                <w:b/>
                <w:szCs w:val="22"/>
              </w:rPr>
              <w:t xml:space="preserve">Licensing </w:t>
            </w:r>
            <w:r w:rsidR="001835E6">
              <w:rPr>
                <w:b/>
                <w:szCs w:val="22"/>
              </w:rPr>
              <w:t>and Public S</w:t>
            </w:r>
            <w:r w:rsidR="003E35AB">
              <w:rPr>
                <w:b/>
                <w:szCs w:val="22"/>
              </w:rPr>
              <w:t>afety Committee</w:t>
            </w:r>
          </w:p>
        </w:tc>
        <w:tc>
          <w:tcPr>
            <w:tcW w:w="2268" w:type="dxa"/>
            <w:gridSpan w:val="2"/>
            <w:tcBorders>
              <w:bottom w:val="nil"/>
            </w:tcBorders>
            <w:vAlign w:val="center"/>
          </w:tcPr>
          <w:p w14:paraId="65F29B82" w14:textId="7FDBDDAA" w:rsidR="002F5C5E" w:rsidRPr="001E323B" w:rsidRDefault="0022443E" w:rsidP="0047741D">
            <w:pPr>
              <w:jc w:val="center"/>
              <w:rPr>
                <w:b/>
              </w:rPr>
            </w:pPr>
            <w:r>
              <w:rPr>
                <w:b/>
              </w:rPr>
              <w:t>11 June 2019</w:t>
            </w:r>
          </w:p>
        </w:tc>
      </w:tr>
      <w:tr w:rsidR="002F5C5E" w:rsidRPr="009E2B84" w14:paraId="6DCB8272" w14:textId="77777777" w:rsidTr="0047741D">
        <w:trPr>
          <w:gridAfter w:val="1"/>
          <w:wAfter w:w="2835" w:type="dxa"/>
          <w:cantSplit/>
          <w:trHeight w:val="560"/>
        </w:trPr>
        <w:tc>
          <w:tcPr>
            <w:tcW w:w="7054" w:type="dxa"/>
            <w:gridSpan w:val="3"/>
            <w:tcBorders>
              <w:left w:val="nil"/>
              <w:right w:val="nil"/>
            </w:tcBorders>
          </w:tcPr>
          <w:p w14:paraId="11791947" w14:textId="77777777" w:rsidR="002F5C5E" w:rsidRPr="009E2B84" w:rsidRDefault="002F5C5E" w:rsidP="003902A2">
            <w:pPr>
              <w:jc w:val="right"/>
              <w:rPr>
                <w:sz w:val="8"/>
              </w:rPr>
            </w:pPr>
          </w:p>
        </w:tc>
      </w:tr>
      <w:tr w:rsidR="0047741D" w:rsidRPr="009E2B84" w14:paraId="30DDBCB6" w14:textId="77777777" w:rsidTr="0047741D">
        <w:trPr>
          <w:cantSplit/>
        </w:trPr>
        <w:tc>
          <w:tcPr>
            <w:tcW w:w="6912" w:type="dxa"/>
            <w:gridSpan w:val="2"/>
            <w:shd w:val="clear" w:color="auto" w:fill="BFBFBF"/>
            <w:vAlign w:val="center"/>
          </w:tcPr>
          <w:p w14:paraId="33583E75"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5B60EFD6" w14:textId="77777777" w:rsidR="0047741D" w:rsidRPr="009E2B84" w:rsidRDefault="0047741D" w:rsidP="00E2196F">
            <w:pPr>
              <w:jc w:val="center"/>
              <w:rPr>
                <w:b/>
              </w:rPr>
            </w:pPr>
            <w:r>
              <w:rPr>
                <w:b/>
              </w:rPr>
              <w:t>REPORT OF</w:t>
            </w:r>
          </w:p>
        </w:tc>
      </w:tr>
      <w:tr w:rsidR="0047741D" w:rsidRPr="009E2B84" w14:paraId="2C75D11E" w14:textId="77777777" w:rsidTr="0047741D">
        <w:trPr>
          <w:cantSplit/>
          <w:trHeight w:val="667"/>
        </w:trPr>
        <w:tc>
          <w:tcPr>
            <w:tcW w:w="6912" w:type="dxa"/>
            <w:gridSpan w:val="2"/>
            <w:vAlign w:val="center"/>
          </w:tcPr>
          <w:p w14:paraId="459D4F09" w14:textId="77777777" w:rsidR="0047741D" w:rsidRPr="009E2B84" w:rsidRDefault="0047741D" w:rsidP="00E2196F">
            <w:pPr>
              <w:rPr>
                <w:b/>
              </w:rPr>
            </w:pPr>
          </w:p>
          <w:p w14:paraId="3EEDD999" w14:textId="77777777" w:rsidR="0047741D" w:rsidRPr="009E2B84" w:rsidRDefault="004A36DA" w:rsidP="001E323B">
            <w:pPr>
              <w:rPr>
                <w:b/>
              </w:rPr>
            </w:pPr>
            <w:r>
              <w:rPr>
                <w:b/>
              </w:rPr>
              <w:t>Use of Standing Order 35</w:t>
            </w:r>
          </w:p>
        </w:tc>
        <w:tc>
          <w:tcPr>
            <w:tcW w:w="2977" w:type="dxa"/>
            <w:gridSpan w:val="2"/>
            <w:vAlign w:val="center"/>
          </w:tcPr>
          <w:p w14:paraId="45C18771" w14:textId="01264E0C" w:rsidR="0047741D" w:rsidRPr="001E323B" w:rsidRDefault="00113EE0" w:rsidP="001E323B">
            <w:pPr>
              <w:rPr>
                <w:b/>
              </w:rPr>
            </w:pPr>
            <w:r>
              <w:rPr>
                <w:b/>
              </w:rPr>
              <w:t>Interim Monitoring Officer/ Legal Services Manager</w:t>
            </w:r>
            <w:bookmarkStart w:id="0" w:name="_GoBack"/>
            <w:bookmarkEnd w:id="0"/>
          </w:p>
        </w:tc>
      </w:tr>
    </w:tbl>
    <w:p w14:paraId="3EE44849" w14:textId="77777777" w:rsidR="002F5C5E" w:rsidRPr="009E2B84" w:rsidRDefault="002F5C5E" w:rsidP="002F5C5E"/>
    <w:p w14:paraId="56B5F0EF"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78B9ECF4" w14:textId="77777777" w:rsidTr="00E2196F">
        <w:tc>
          <w:tcPr>
            <w:tcW w:w="6652" w:type="dxa"/>
            <w:shd w:val="clear" w:color="auto" w:fill="auto"/>
          </w:tcPr>
          <w:p w14:paraId="1CE8E78E" w14:textId="77777777" w:rsidR="0047741D" w:rsidRDefault="0047741D" w:rsidP="00E2196F">
            <w:pPr>
              <w:rPr>
                <w:szCs w:val="22"/>
              </w:rPr>
            </w:pPr>
          </w:p>
          <w:p w14:paraId="2E07E730" w14:textId="5B43BB71" w:rsidR="0047741D" w:rsidRPr="009C1143" w:rsidRDefault="0047741D" w:rsidP="00E2196F">
            <w:pPr>
              <w:rPr>
                <w:szCs w:val="22"/>
              </w:rPr>
            </w:pPr>
            <w:r>
              <w:rPr>
                <w:szCs w:val="22"/>
              </w:rPr>
              <w:t>Is this report confidential?</w:t>
            </w:r>
            <w:r w:rsidR="001E323B">
              <w:rPr>
                <w:szCs w:val="22"/>
              </w:rPr>
              <w:t xml:space="preserve"> </w:t>
            </w:r>
            <w:r w:rsidR="00047F24">
              <w:rPr>
                <w:szCs w:val="22"/>
              </w:rPr>
              <w:t xml:space="preserve"> </w:t>
            </w:r>
          </w:p>
        </w:tc>
        <w:tc>
          <w:tcPr>
            <w:tcW w:w="3266" w:type="dxa"/>
            <w:shd w:val="clear" w:color="auto" w:fill="auto"/>
          </w:tcPr>
          <w:p w14:paraId="003CE38C" w14:textId="77777777" w:rsidR="00E63940" w:rsidRDefault="0022443E" w:rsidP="00E63940">
            <w:pPr>
              <w:rPr>
                <w:b/>
                <w:szCs w:val="22"/>
              </w:rPr>
            </w:pPr>
            <w:r>
              <w:rPr>
                <w:b/>
                <w:szCs w:val="22"/>
              </w:rPr>
              <w:t>No</w:t>
            </w:r>
          </w:p>
          <w:p w14:paraId="3AF233CC" w14:textId="77777777" w:rsidR="0047741D" w:rsidRPr="009C1143" w:rsidRDefault="0047741D" w:rsidP="001E323B">
            <w:pPr>
              <w:rPr>
                <w:szCs w:val="22"/>
              </w:rPr>
            </w:pPr>
          </w:p>
        </w:tc>
      </w:tr>
    </w:tbl>
    <w:p w14:paraId="0FC43EAF" w14:textId="77777777" w:rsidR="0047741D" w:rsidRDefault="0047741D" w:rsidP="002F5C5E">
      <w:pPr>
        <w:rPr>
          <w:sz w:val="16"/>
          <w:szCs w:val="16"/>
        </w:rPr>
      </w:pPr>
    </w:p>
    <w:p w14:paraId="76A584BB" w14:textId="77777777" w:rsidR="00EB2D32" w:rsidRPr="009C1143" w:rsidRDefault="00EB2D32" w:rsidP="002F5C5E">
      <w:pPr>
        <w:rPr>
          <w:sz w:val="16"/>
          <w:szCs w:val="16"/>
        </w:rPr>
      </w:pPr>
    </w:p>
    <w:p w14:paraId="46E1ECE0" w14:textId="77777777" w:rsidR="002F5C5E" w:rsidRDefault="002F5C5E" w:rsidP="002F5C5E">
      <w:pPr>
        <w:keepNext/>
        <w:numPr>
          <w:ilvl w:val="0"/>
          <w:numId w:val="8"/>
        </w:numPr>
        <w:outlineLvl w:val="0"/>
        <w:rPr>
          <w:b/>
          <w:szCs w:val="22"/>
        </w:rPr>
      </w:pPr>
      <w:r w:rsidRPr="009C1143">
        <w:rPr>
          <w:b/>
          <w:szCs w:val="22"/>
        </w:rPr>
        <w:t xml:space="preserve">PURPOSE OF THE REPORT  </w:t>
      </w:r>
    </w:p>
    <w:p w14:paraId="6449196D" w14:textId="77777777" w:rsidR="002F5C5E" w:rsidRPr="002B2179" w:rsidRDefault="002F5C5E" w:rsidP="002F5C5E">
      <w:pPr>
        <w:rPr>
          <w:rFonts w:cs="Arial"/>
          <w:sz w:val="16"/>
          <w:szCs w:val="16"/>
        </w:rPr>
      </w:pPr>
    </w:p>
    <w:p w14:paraId="63615272" w14:textId="77777777" w:rsidR="001E323B" w:rsidRPr="002B2179" w:rsidRDefault="00A36FBF" w:rsidP="002F5C5E">
      <w:pPr>
        <w:rPr>
          <w:rFonts w:cs="Arial"/>
          <w:szCs w:val="22"/>
        </w:rPr>
      </w:pPr>
      <w:r>
        <w:rPr>
          <w:rFonts w:cs="Arial"/>
          <w:szCs w:val="22"/>
        </w:rPr>
        <w:t xml:space="preserve">1.1 </w:t>
      </w:r>
      <w:r w:rsidR="002B2179" w:rsidRPr="002B2179">
        <w:rPr>
          <w:rFonts w:cs="Arial"/>
          <w:szCs w:val="22"/>
        </w:rPr>
        <w:t xml:space="preserve">To provide an update </w:t>
      </w:r>
      <w:r w:rsidR="00047F24">
        <w:rPr>
          <w:rFonts w:cs="Arial"/>
          <w:szCs w:val="22"/>
        </w:rPr>
        <w:t>on the recent use of Standing Order 3</w:t>
      </w:r>
      <w:r w:rsidR="004A36DA">
        <w:rPr>
          <w:rFonts w:cs="Arial"/>
          <w:szCs w:val="22"/>
        </w:rPr>
        <w:t>5</w:t>
      </w:r>
    </w:p>
    <w:p w14:paraId="27A4D62D" w14:textId="77777777" w:rsidR="002F5C5E" w:rsidRPr="009C4544" w:rsidRDefault="002F5C5E" w:rsidP="002F5C5E">
      <w:pPr>
        <w:rPr>
          <w:rFonts w:asciiTheme="minorHAnsi" w:hAnsiTheme="minorHAnsi"/>
          <w:szCs w:val="22"/>
        </w:rPr>
      </w:pPr>
    </w:p>
    <w:p w14:paraId="79B9525D" w14:textId="77777777" w:rsidR="002F5C5E" w:rsidRPr="00AE7D36" w:rsidRDefault="002F5C5E" w:rsidP="002F5C5E">
      <w:pPr>
        <w:keepNext/>
        <w:numPr>
          <w:ilvl w:val="0"/>
          <w:numId w:val="8"/>
        </w:numPr>
        <w:outlineLvl w:val="0"/>
        <w:rPr>
          <w:rFonts w:cs="Arial"/>
          <w:b/>
          <w:szCs w:val="22"/>
        </w:rPr>
      </w:pPr>
      <w:r w:rsidRPr="00AE7D36">
        <w:rPr>
          <w:rFonts w:cs="Arial"/>
          <w:b/>
          <w:szCs w:val="22"/>
        </w:rPr>
        <w:t>RECOMMENDATIONS</w:t>
      </w:r>
    </w:p>
    <w:p w14:paraId="5599A7B4" w14:textId="77777777" w:rsidR="000B5251" w:rsidRPr="009C4544" w:rsidRDefault="000B5251" w:rsidP="000B5251">
      <w:pPr>
        <w:keepNext/>
        <w:ind w:left="360"/>
        <w:outlineLvl w:val="0"/>
        <w:rPr>
          <w:rFonts w:asciiTheme="minorHAnsi" w:hAnsiTheme="minorHAnsi"/>
          <w:b/>
          <w:szCs w:val="22"/>
        </w:rPr>
      </w:pPr>
    </w:p>
    <w:p w14:paraId="02C39037" w14:textId="77777777" w:rsidR="001E323B" w:rsidRPr="00B25D02" w:rsidRDefault="00047F24" w:rsidP="00047F24">
      <w:pPr>
        <w:pStyle w:val="ListParagraph"/>
        <w:ind w:left="644" w:hanging="644"/>
        <w:rPr>
          <w:rFonts w:ascii="Arial" w:hAnsi="Arial" w:cs="Arial"/>
        </w:rPr>
      </w:pPr>
      <w:r>
        <w:rPr>
          <w:rFonts w:ascii="Arial" w:hAnsi="Arial" w:cs="Arial"/>
        </w:rPr>
        <w:t xml:space="preserve">2.1 To note the contents </w:t>
      </w:r>
      <w:r w:rsidR="00672165">
        <w:rPr>
          <w:rFonts w:ascii="Arial" w:hAnsi="Arial" w:cs="Arial"/>
        </w:rPr>
        <w:t xml:space="preserve">of the report </w:t>
      </w:r>
      <w:r>
        <w:rPr>
          <w:rFonts w:ascii="Arial" w:hAnsi="Arial" w:cs="Arial"/>
        </w:rPr>
        <w:t xml:space="preserve">and </w:t>
      </w:r>
      <w:r w:rsidR="00672165">
        <w:rPr>
          <w:rFonts w:ascii="Arial" w:hAnsi="Arial" w:cs="Arial"/>
        </w:rPr>
        <w:t xml:space="preserve">the </w:t>
      </w:r>
      <w:r>
        <w:rPr>
          <w:rFonts w:ascii="Arial" w:hAnsi="Arial" w:cs="Arial"/>
        </w:rPr>
        <w:t xml:space="preserve">action taken </w:t>
      </w:r>
    </w:p>
    <w:p w14:paraId="23805012" w14:textId="77777777" w:rsidR="002F5C5E" w:rsidRPr="009C4544" w:rsidRDefault="002F5C5E" w:rsidP="002F5C5E">
      <w:pPr>
        <w:rPr>
          <w:rFonts w:asciiTheme="minorHAnsi" w:hAnsiTheme="minorHAnsi"/>
          <w:sz w:val="16"/>
          <w:szCs w:val="16"/>
        </w:rPr>
      </w:pPr>
    </w:p>
    <w:p w14:paraId="0C8C7DF7" w14:textId="77777777" w:rsidR="000B5251" w:rsidRPr="009C4544" w:rsidRDefault="000B5251" w:rsidP="000B5251">
      <w:pPr>
        <w:keepNext/>
        <w:ind w:left="360"/>
        <w:outlineLvl w:val="0"/>
        <w:rPr>
          <w:rFonts w:asciiTheme="minorHAnsi" w:hAnsiTheme="minorHAnsi"/>
          <w:b/>
          <w:szCs w:val="22"/>
        </w:rPr>
      </w:pPr>
    </w:p>
    <w:p w14:paraId="04C9126C" w14:textId="77777777" w:rsidR="002F5C5E" w:rsidRPr="00AE7D36" w:rsidRDefault="002F5C5E" w:rsidP="00525728">
      <w:pPr>
        <w:keepNext/>
        <w:numPr>
          <w:ilvl w:val="0"/>
          <w:numId w:val="8"/>
        </w:numPr>
        <w:outlineLvl w:val="0"/>
        <w:rPr>
          <w:rFonts w:cs="Arial"/>
          <w:b/>
          <w:szCs w:val="22"/>
        </w:rPr>
      </w:pPr>
      <w:r w:rsidRPr="00AE7D36">
        <w:rPr>
          <w:rFonts w:cs="Arial"/>
          <w:b/>
          <w:szCs w:val="22"/>
        </w:rPr>
        <w:t>CORPORATE PRIORITIES</w:t>
      </w:r>
    </w:p>
    <w:p w14:paraId="30D47AB9" w14:textId="77777777" w:rsidR="00772B9C" w:rsidRPr="009C4544" w:rsidRDefault="00772B9C" w:rsidP="00772B9C">
      <w:pPr>
        <w:keepNext/>
        <w:outlineLvl w:val="0"/>
        <w:rPr>
          <w:rFonts w:asciiTheme="minorHAnsi" w:hAnsiTheme="minorHAnsi"/>
          <w:b/>
          <w:szCs w:val="22"/>
        </w:rPr>
      </w:pPr>
    </w:p>
    <w:p w14:paraId="6274DB9A" w14:textId="77777777" w:rsidR="00772B9C" w:rsidRPr="00B25D02" w:rsidRDefault="00772B9C" w:rsidP="00772B9C">
      <w:pPr>
        <w:keepNext/>
        <w:ind w:left="360"/>
        <w:outlineLvl w:val="0"/>
        <w:rPr>
          <w:rFonts w:cs="Arial"/>
          <w:i/>
          <w:color w:val="2E74B5"/>
          <w:szCs w:val="22"/>
        </w:rPr>
      </w:pPr>
      <w:r w:rsidRPr="00B25D02">
        <w:rPr>
          <w:rFonts w:cs="Arial"/>
          <w:szCs w:val="22"/>
        </w:rPr>
        <w:t>The report relates to the following corporate priorities:</w:t>
      </w:r>
    </w:p>
    <w:p w14:paraId="38199F54" w14:textId="77777777" w:rsidR="00772B9C" w:rsidRPr="00B25D02" w:rsidRDefault="00772B9C" w:rsidP="00772B9C">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4544" w14:paraId="3E5C92F5" w14:textId="77777777" w:rsidTr="000E4458">
        <w:tc>
          <w:tcPr>
            <w:tcW w:w="4423" w:type="dxa"/>
            <w:shd w:val="clear" w:color="auto" w:fill="auto"/>
          </w:tcPr>
          <w:p w14:paraId="4A022112" w14:textId="77777777" w:rsidR="00772B9C" w:rsidRPr="009C4544" w:rsidRDefault="00772B9C" w:rsidP="000E4458">
            <w:pPr>
              <w:rPr>
                <w:rFonts w:asciiTheme="minorHAnsi" w:hAnsiTheme="minorHAnsi"/>
                <w:szCs w:val="22"/>
              </w:rPr>
            </w:pPr>
            <w:r w:rsidRPr="009C4544">
              <w:rPr>
                <w:rFonts w:asciiTheme="minorHAnsi" w:hAnsiTheme="minorHAnsi"/>
                <w:szCs w:val="22"/>
              </w:rPr>
              <w:t>Excellence and Financial Sustainability</w:t>
            </w:r>
          </w:p>
          <w:p w14:paraId="4EBB9B49" w14:textId="77777777" w:rsidR="00772B9C" w:rsidRPr="009C4544" w:rsidRDefault="00772B9C" w:rsidP="000E4458">
            <w:pPr>
              <w:rPr>
                <w:rFonts w:asciiTheme="minorHAnsi" w:hAnsiTheme="minorHAnsi"/>
                <w:szCs w:val="22"/>
              </w:rPr>
            </w:pPr>
          </w:p>
        </w:tc>
        <w:tc>
          <w:tcPr>
            <w:tcW w:w="850" w:type="dxa"/>
            <w:shd w:val="clear" w:color="auto" w:fill="auto"/>
          </w:tcPr>
          <w:p w14:paraId="0E412101" w14:textId="77777777" w:rsidR="00772B9C" w:rsidRPr="006442D2" w:rsidRDefault="008F7550" w:rsidP="000E4458">
            <w:pPr>
              <w:rPr>
                <w:rFonts w:asciiTheme="minorHAnsi" w:hAnsiTheme="minorHAnsi"/>
                <w:szCs w:val="22"/>
              </w:rPr>
            </w:pPr>
            <w:r w:rsidRPr="006442D2">
              <w:rPr>
                <w:rFonts w:asciiTheme="minorHAnsi" w:hAnsiTheme="minorHAnsi"/>
                <w:szCs w:val="22"/>
              </w:rPr>
              <w:t xml:space="preserve">    x</w:t>
            </w:r>
          </w:p>
          <w:p w14:paraId="739BE2E6" w14:textId="77777777" w:rsidR="008F7550" w:rsidRPr="009C4544" w:rsidRDefault="008F7550" w:rsidP="000E4458">
            <w:pPr>
              <w:rPr>
                <w:rFonts w:asciiTheme="minorHAnsi" w:hAnsiTheme="minorHAnsi"/>
                <w:szCs w:val="22"/>
                <w:highlight w:val="yellow"/>
              </w:rPr>
            </w:pPr>
          </w:p>
        </w:tc>
      </w:tr>
      <w:tr w:rsidR="00772B9C" w:rsidRPr="009C4544" w14:paraId="7F262DAF" w14:textId="77777777" w:rsidTr="000E4458">
        <w:tc>
          <w:tcPr>
            <w:tcW w:w="4423" w:type="dxa"/>
            <w:shd w:val="clear" w:color="auto" w:fill="auto"/>
          </w:tcPr>
          <w:p w14:paraId="007E8F29" w14:textId="77777777" w:rsidR="00772B9C" w:rsidRPr="009C4544" w:rsidRDefault="00772B9C" w:rsidP="000E4458">
            <w:pPr>
              <w:rPr>
                <w:rFonts w:asciiTheme="minorHAnsi" w:hAnsiTheme="minorHAnsi"/>
                <w:szCs w:val="22"/>
              </w:rPr>
            </w:pPr>
            <w:r w:rsidRPr="009C4544">
              <w:rPr>
                <w:rFonts w:asciiTheme="minorHAnsi" w:hAnsiTheme="minorHAnsi"/>
                <w:szCs w:val="22"/>
              </w:rPr>
              <w:t>Health and Wellbeing</w:t>
            </w:r>
          </w:p>
          <w:p w14:paraId="1246B652" w14:textId="77777777" w:rsidR="00772B9C" w:rsidRPr="009C4544" w:rsidRDefault="00772B9C" w:rsidP="000E4458">
            <w:pPr>
              <w:rPr>
                <w:rFonts w:asciiTheme="minorHAnsi" w:hAnsiTheme="minorHAnsi"/>
                <w:szCs w:val="22"/>
              </w:rPr>
            </w:pPr>
          </w:p>
        </w:tc>
        <w:tc>
          <w:tcPr>
            <w:tcW w:w="850" w:type="dxa"/>
            <w:shd w:val="clear" w:color="auto" w:fill="auto"/>
          </w:tcPr>
          <w:p w14:paraId="3DCD1187" w14:textId="77777777" w:rsidR="00772B9C" w:rsidRPr="009C4544" w:rsidRDefault="00772B9C" w:rsidP="000E4458">
            <w:pPr>
              <w:rPr>
                <w:rFonts w:asciiTheme="minorHAnsi" w:hAnsiTheme="minorHAnsi"/>
                <w:szCs w:val="22"/>
                <w:highlight w:val="yellow"/>
              </w:rPr>
            </w:pPr>
          </w:p>
        </w:tc>
      </w:tr>
      <w:tr w:rsidR="00772B9C" w:rsidRPr="009C4544" w14:paraId="50E8D7D0" w14:textId="77777777" w:rsidTr="000E4458">
        <w:tc>
          <w:tcPr>
            <w:tcW w:w="4423" w:type="dxa"/>
            <w:shd w:val="clear" w:color="auto" w:fill="auto"/>
          </w:tcPr>
          <w:p w14:paraId="76B39F96" w14:textId="77777777" w:rsidR="00772B9C" w:rsidRPr="009C4544" w:rsidRDefault="00772B9C" w:rsidP="000E4458">
            <w:pPr>
              <w:rPr>
                <w:rFonts w:asciiTheme="minorHAnsi" w:hAnsiTheme="minorHAnsi"/>
                <w:szCs w:val="22"/>
              </w:rPr>
            </w:pPr>
            <w:r w:rsidRPr="009C4544">
              <w:rPr>
                <w:rFonts w:asciiTheme="minorHAnsi" w:hAnsiTheme="minorHAnsi"/>
                <w:szCs w:val="22"/>
              </w:rPr>
              <w:t>Place</w:t>
            </w:r>
          </w:p>
          <w:p w14:paraId="63FE3800" w14:textId="77777777" w:rsidR="00772B9C" w:rsidRPr="009C4544" w:rsidRDefault="00772B9C" w:rsidP="000E4458">
            <w:pPr>
              <w:rPr>
                <w:rFonts w:asciiTheme="minorHAnsi" w:hAnsiTheme="minorHAnsi"/>
                <w:szCs w:val="22"/>
              </w:rPr>
            </w:pPr>
          </w:p>
        </w:tc>
        <w:tc>
          <w:tcPr>
            <w:tcW w:w="850" w:type="dxa"/>
            <w:shd w:val="clear" w:color="auto" w:fill="auto"/>
          </w:tcPr>
          <w:p w14:paraId="2AB7313E" w14:textId="77777777" w:rsidR="00772B9C" w:rsidRPr="009C4544" w:rsidRDefault="00772B9C" w:rsidP="000E4458">
            <w:pPr>
              <w:rPr>
                <w:rFonts w:asciiTheme="minorHAnsi" w:hAnsiTheme="minorHAnsi"/>
                <w:szCs w:val="22"/>
              </w:rPr>
            </w:pPr>
          </w:p>
        </w:tc>
      </w:tr>
    </w:tbl>
    <w:p w14:paraId="0FAC1A8F" w14:textId="77777777" w:rsidR="00772B9C" w:rsidRPr="009C4544" w:rsidRDefault="00772B9C" w:rsidP="00772B9C">
      <w:pPr>
        <w:rPr>
          <w:rFonts w:asciiTheme="minorHAnsi" w:hAnsiTheme="minorHAnsi"/>
        </w:rPr>
      </w:pPr>
    </w:p>
    <w:p w14:paraId="5883AB2D" w14:textId="77777777" w:rsidR="00772B9C" w:rsidRPr="009C4544" w:rsidRDefault="00772B9C" w:rsidP="002F5C5E">
      <w:pPr>
        <w:rPr>
          <w:rFonts w:asciiTheme="minorHAnsi" w:hAnsiTheme="minorHAnsi"/>
          <w:szCs w:val="22"/>
        </w:rPr>
      </w:pPr>
    </w:p>
    <w:p w14:paraId="4E4AC546" w14:textId="77777777" w:rsidR="002F5C5E" w:rsidRPr="00AE7D36" w:rsidRDefault="002F5C5E" w:rsidP="00C42883">
      <w:pPr>
        <w:pStyle w:val="ListParagraph"/>
        <w:numPr>
          <w:ilvl w:val="0"/>
          <w:numId w:val="8"/>
        </w:numPr>
        <w:rPr>
          <w:rFonts w:ascii="Arial" w:hAnsi="Arial" w:cs="Arial"/>
          <w:b/>
        </w:rPr>
      </w:pPr>
      <w:r w:rsidRPr="00AE7D36">
        <w:rPr>
          <w:rFonts w:ascii="Arial" w:hAnsi="Arial" w:cs="Arial"/>
          <w:b/>
        </w:rPr>
        <w:t>BACKGROUND TO THE REPORT</w:t>
      </w:r>
    </w:p>
    <w:p w14:paraId="257EE5CC" w14:textId="77777777" w:rsidR="00FC6A1D" w:rsidRPr="00C42883" w:rsidRDefault="00FC6A1D" w:rsidP="00FC6A1D">
      <w:pPr>
        <w:pStyle w:val="ListParagraph"/>
        <w:ind w:left="360"/>
        <w:rPr>
          <w:rFonts w:asciiTheme="minorHAnsi" w:hAnsiTheme="minorHAnsi"/>
          <w:b/>
        </w:rPr>
      </w:pPr>
    </w:p>
    <w:p w14:paraId="10429502" w14:textId="77777777" w:rsidR="004205FE" w:rsidRDefault="004205FE" w:rsidP="004205FE">
      <w:pPr>
        <w:pStyle w:val="Header"/>
        <w:tabs>
          <w:tab w:val="clear" w:pos="4153"/>
          <w:tab w:val="clear" w:pos="8306"/>
        </w:tabs>
        <w:ind w:left="567" w:hanging="283"/>
        <w:jc w:val="both"/>
      </w:pPr>
      <w:r>
        <w:t>4.1A Licensing Act 2003 panel hearing was re-convened on the 27</w:t>
      </w:r>
      <w:r w:rsidRPr="00771C9D">
        <w:rPr>
          <w:vertAlign w:val="superscript"/>
        </w:rPr>
        <w:t>th</w:t>
      </w:r>
      <w:r>
        <w:t xml:space="preserve"> November 2018, consisting of three members, Councillor Mort (Chair), Councillor Bell and Councillor Wharton, to determine a review application in respect of Moss Lane Convenience Store, pursuant to the provisions of S52 of the Licensing act 2003.</w:t>
      </w:r>
    </w:p>
    <w:p w14:paraId="655B35A8" w14:textId="77777777" w:rsidR="004205FE" w:rsidRDefault="004205FE" w:rsidP="004205FE">
      <w:pPr>
        <w:pStyle w:val="Header"/>
        <w:tabs>
          <w:tab w:val="clear" w:pos="4153"/>
          <w:tab w:val="clear" w:pos="8306"/>
        </w:tabs>
        <w:ind w:left="567" w:hanging="283"/>
        <w:jc w:val="both"/>
      </w:pPr>
    </w:p>
    <w:p w14:paraId="77265641" w14:textId="77777777" w:rsidR="004205FE" w:rsidRDefault="004205FE" w:rsidP="004205FE">
      <w:pPr>
        <w:pStyle w:val="Header"/>
        <w:tabs>
          <w:tab w:val="clear" w:pos="4153"/>
          <w:tab w:val="clear" w:pos="8306"/>
        </w:tabs>
        <w:ind w:left="567" w:hanging="283"/>
        <w:jc w:val="both"/>
      </w:pPr>
      <w:r>
        <w:t>4.2In the circumstances the panel felt that the only appropriate measure was to revoke the licence.  Serious criminal activity had taken place at the premises and it was considered that revocation was warranted. Such action was considered to be in the public interest having regard to the twin considerations of prevention and deterrence. Revocation of the premises licence was an appropriate and proportionate response in terms of promoting the licensing objectives</w:t>
      </w:r>
    </w:p>
    <w:p w14:paraId="14C7EEDB" w14:textId="77777777" w:rsidR="004205FE" w:rsidRDefault="004205FE" w:rsidP="004205FE">
      <w:pPr>
        <w:pStyle w:val="Header"/>
        <w:tabs>
          <w:tab w:val="clear" w:pos="4153"/>
          <w:tab w:val="clear" w:pos="8306"/>
        </w:tabs>
        <w:ind w:left="567" w:hanging="283"/>
        <w:jc w:val="both"/>
      </w:pPr>
    </w:p>
    <w:p w14:paraId="5523091F" w14:textId="77777777" w:rsidR="004205FE" w:rsidRDefault="004205FE" w:rsidP="004205FE">
      <w:pPr>
        <w:pStyle w:val="Header"/>
        <w:tabs>
          <w:tab w:val="clear" w:pos="4153"/>
          <w:tab w:val="clear" w:pos="8306"/>
        </w:tabs>
        <w:ind w:left="567" w:hanging="283"/>
        <w:jc w:val="both"/>
      </w:pPr>
      <w:r>
        <w:t xml:space="preserve">4.3The Licence holder submitted an Appeal to the Magistrates against the Licensing Authorities decision. </w:t>
      </w:r>
    </w:p>
    <w:p w14:paraId="3C21C1A1" w14:textId="77777777" w:rsidR="004205FE" w:rsidRDefault="004205FE" w:rsidP="004205FE">
      <w:pPr>
        <w:pStyle w:val="Header"/>
        <w:tabs>
          <w:tab w:val="clear" w:pos="4153"/>
          <w:tab w:val="clear" w:pos="8306"/>
        </w:tabs>
        <w:ind w:left="67" w:firstLine="500"/>
        <w:jc w:val="both"/>
      </w:pPr>
    </w:p>
    <w:p w14:paraId="760E0F62" w14:textId="77777777" w:rsidR="004205FE" w:rsidRDefault="0022443E" w:rsidP="004205FE">
      <w:pPr>
        <w:pStyle w:val="Header"/>
        <w:tabs>
          <w:tab w:val="clear" w:pos="4153"/>
          <w:tab w:val="clear" w:pos="8306"/>
        </w:tabs>
        <w:ind w:left="567"/>
        <w:jc w:val="both"/>
      </w:pPr>
      <w:r>
        <w:lastRenderedPageBreak/>
        <w:t xml:space="preserve">4.4 </w:t>
      </w:r>
      <w:r w:rsidR="004205FE">
        <w:t>In early January 2019 the Department was contacted by an interested party who wished to take over the business, his client was an operator from Liverpool who had 2 (off licensed) premises. His intention was to transfer the licence.</w:t>
      </w:r>
    </w:p>
    <w:p w14:paraId="147110E6" w14:textId="77777777" w:rsidR="0022443E" w:rsidRDefault="0022443E" w:rsidP="004205FE">
      <w:pPr>
        <w:pStyle w:val="Header"/>
        <w:tabs>
          <w:tab w:val="clear" w:pos="4153"/>
          <w:tab w:val="clear" w:pos="8306"/>
        </w:tabs>
        <w:ind w:left="567"/>
        <w:jc w:val="both"/>
      </w:pPr>
    </w:p>
    <w:p w14:paraId="50A2096A" w14:textId="325CCEBD" w:rsidR="004205FE" w:rsidRDefault="0022443E" w:rsidP="004205FE">
      <w:pPr>
        <w:pStyle w:val="Header"/>
        <w:tabs>
          <w:tab w:val="clear" w:pos="4153"/>
          <w:tab w:val="clear" w:pos="8306"/>
        </w:tabs>
        <w:ind w:left="567"/>
        <w:jc w:val="both"/>
      </w:pPr>
      <w:r>
        <w:t xml:space="preserve">4.5 </w:t>
      </w:r>
      <w:r w:rsidR="004205FE">
        <w:t>It was explained that clear severance would be needed, in the form of a new lease which demonstrated that the previous licence holder had no interests in the business before any settlement of the Appeal could even be considered</w:t>
      </w:r>
      <w:r w:rsidR="00FD41A3">
        <w:t>. The new licence holder was from Liverpool and had at least a 4 year trading history in that area which was confirmed by the Police in Liverpool.</w:t>
      </w:r>
    </w:p>
    <w:p w14:paraId="73501ABF" w14:textId="77777777" w:rsidR="006442D2" w:rsidRDefault="006442D2" w:rsidP="004205FE">
      <w:pPr>
        <w:pStyle w:val="Header"/>
        <w:tabs>
          <w:tab w:val="clear" w:pos="4153"/>
          <w:tab w:val="clear" w:pos="8306"/>
        </w:tabs>
        <w:ind w:left="567"/>
        <w:jc w:val="both"/>
      </w:pPr>
    </w:p>
    <w:p w14:paraId="631EF929" w14:textId="7D8657BE" w:rsidR="004A36DA" w:rsidRPr="004205FE" w:rsidRDefault="004205FE" w:rsidP="006442D2">
      <w:pPr>
        <w:ind w:left="567" w:hanging="283"/>
        <w:rPr>
          <w:rFonts w:cs="Arial"/>
        </w:rPr>
      </w:pPr>
      <w:r>
        <w:rPr>
          <w:rFonts w:cs="Arial"/>
        </w:rPr>
        <w:t>4.</w:t>
      </w:r>
      <w:r w:rsidR="005B2F09">
        <w:rPr>
          <w:rFonts w:cs="Arial"/>
        </w:rPr>
        <w:t>6</w:t>
      </w:r>
      <w:r w:rsidR="006442D2">
        <w:rPr>
          <w:rFonts w:cs="Arial"/>
        </w:rPr>
        <w:t xml:space="preserve"> </w:t>
      </w:r>
      <w:r w:rsidR="00F96ABC" w:rsidRPr="004205FE">
        <w:rPr>
          <w:rFonts w:cs="Arial"/>
        </w:rPr>
        <w:t xml:space="preserve">A </w:t>
      </w:r>
      <w:r w:rsidR="004A36DA" w:rsidRPr="004205FE">
        <w:rPr>
          <w:rFonts w:cs="Arial"/>
        </w:rPr>
        <w:t xml:space="preserve">copy of the Standing Order used to </w:t>
      </w:r>
      <w:r w:rsidR="006442D2">
        <w:rPr>
          <w:rFonts w:cs="Arial"/>
        </w:rPr>
        <w:t xml:space="preserve">authorise the agreement to </w:t>
      </w:r>
      <w:r w:rsidR="00364401">
        <w:rPr>
          <w:rFonts w:cs="Arial"/>
        </w:rPr>
        <w:t xml:space="preserve">enter into a Consent Order with the side </w:t>
      </w:r>
      <w:r w:rsidR="006442D2" w:rsidRPr="004205FE">
        <w:rPr>
          <w:rFonts w:cs="Arial"/>
        </w:rPr>
        <w:t>is</w:t>
      </w:r>
      <w:r w:rsidR="004A36DA" w:rsidRPr="004205FE">
        <w:rPr>
          <w:rFonts w:cs="Arial"/>
        </w:rPr>
        <w:t xml:space="preserve"> attached as </w:t>
      </w:r>
      <w:r w:rsidR="004A36DA" w:rsidRPr="006442D2">
        <w:rPr>
          <w:rFonts w:cs="Arial"/>
        </w:rPr>
        <w:t>Appendix 1</w:t>
      </w:r>
    </w:p>
    <w:p w14:paraId="364989C3" w14:textId="77777777" w:rsidR="00ED6719" w:rsidRPr="009C4544" w:rsidRDefault="0058792F" w:rsidP="006442D2">
      <w:pPr>
        <w:ind w:left="567"/>
        <w:rPr>
          <w:rFonts w:asciiTheme="minorHAnsi" w:hAnsiTheme="minorHAnsi"/>
          <w:szCs w:val="22"/>
        </w:rPr>
      </w:pPr>
      <w:r w:rsidRPr="009C4544">
        <w:rPr>
          <w:rFonts w:asciiTheme="minorHAnsi" w:hAnsiTheme="minorHAnsi"/>
          <w:szCs w:val="22"/>
        </w:rPr>
        <w:tab/>
      </w:r>
    </w:p>
    <w:p w14:paraId="3E36DEF3" w14:textId="77777777" w:rsidR="007E39F1" w:rsidRPr="009C4544" w:rsidRDefault="007E39F1" w:rsidP="00A36FBF">
      <w:pPr>
        <w:ind w:left="720" w:hanging="720"/>
        <w:rPr>
          <w:rFonts w:asciiTheme="minorHAnsi" w:hAnsiTheme="minorHAnsi"/>
          <w:szCs w:val="22"/>
        </w:rPr>
      </w:pPr>
    </w:p>
    <w:p w14:paraId="5A13D356" w14:textId="77777777" w:rsidR="00C42883" w:rsidRDefault="00B25D02" w:rsidP="00C42883">
      <w:pPr>
        <w:rPr>
          <w:rFonts w:cs="Arial"/>
          <w:b/>
          <w:szCs w:val="22"/>
        </w:rPr>
      </w:pPr>
      <w:r w:rsidRPr="00AE7D36">
        <w:rPr>
          <w:rFonts w:cs="Arial"/>
          <w:b/>
          <w:szCs w:val="22"/>
        </w:rPr>
        <w:t>5</w:t>
      </w:r>
      <w:r w:rsidR="00C42883" w:rsidRPr="00AE7D36">
        <w:rPr>
          <w:rFonts w:cs="Arial"/>
          <w:b/>
          <w:szCs w:val="22"/>
        </w:rPr>
        <w:t xml:space="preserve">. PROPOSALS </w:t>
      </w:r>
    </w:p>
    <w:p w14:paraId="459F79E3" w14:textId="77777777" w:rsidR="006442D2" w:rsidRDefault="006442D2" w:rsidP="00C42883">
      <w:pPr>
        <w:rPr>
          <w:rFonts w:cs="Arial"/>
          <w:b/>
          <w:szCs w:val="22"/>
        </w:rPr>
      </w:pPr>
    </w:p>
    <w:p w14:paraId="1213C5AC" w14:textId="77777777" w:rsidR="006442D2" w:rsidRPr="00D53208" w:rsidRDefault="006442D2" w:rsidP="00C42883">
      <w:pPr>
        <w:rPr>
          <w:rFonts w:cs="Arial"/>
          <w:szCs w:val="22"/>
        </w:rPr>
      </w:pPr>
      <w:r w:rsidRPr="00D53208">
        <w:rPr>
          <w:rFonts w:cs="Arial"/>
          <w:szCs w:val="22"/>
        </w:rPr>
        <w:t>None applicable</w:t>
      </w:r>
      <w:r>
        <w:rPr>
          <w:rFonts w:cs="Arial"/>
          <w:szCs w:val="22"/>
        </w:rPr>
        <w:t xml:space="preserve"> </w:t>
      </w:r>
    </w:p>
    <w:p w14:paraId="1B93008C" w14:textId="77777777" w:rsidR="006526B4" w:rsidRPr="006442D2" w:rsidRDefault="006526B4" w:rsidP="002F5C5E">
      <w:pPr>
        <w:rPr>
          <w:rFonts w:cs="Arial"/>
          <w:szCs w:val="22"/>
        </w:rPr>
      </w:pPr>
    </w:p>
    <w:p w14:paraId="7188C303" w14:textId="77777777" w:rsidR="00F43895" w:rsidRDefault="00D72071" w:rsidP="00F43895">
      <w:pPr>
        <w:rPr>
          <w:rFonts w:cs="Arial"/>
          <w:b/>
          <w:caps/>
        </w:rPr>
      </w:pPr>
      <w:r w:rsidRPr="00AE7D36">
        <w:rPr>
          <w:rFonts w:cs="Arial"/>
          <w:b/>
          <w:szCs w:val="22"/>
        </w:rPr>
        <w:t>7</w:t>
      </w:r>
      <w:r w:rsidR="00F43895" w:rsidRPr="00AE7D36">
        <w:rPr>
          <w:rFonts w:cs="Arial"/>
          <w:b/>
          <w:szCs w:val="22"/>
        </w:rPr>
        <w:t xml:space="preserve">.    </w:t>
      </w:r>
      <w:r w:rsidR="00F43895" w:rsidRPr="00AE7D36">
        <w:rPr>
          <w:rFonts w:cs="Arial"/>
          <w:b/>
          <w:caps/>
        </w:rPr>
        <w:t>Financial implications</w:t>
      </w:r>
    </w:p>
    <w:p w14:paraId="26AE4739" w14:textId="77777777" w:rsidR="00F43895" w:rsidRPr="00D53208" w:rsidRDefault="00A36FBF" w:rsidP="00F43895">
      <w:pPr>
        <w:ind w:left="567"/>
        <w:rPr>
          <w:rFonts w:cs="Arial"/>
          <w:caps/>
        </w:rPr>
      </w:pPr>
      <w:r w:rsidRPr="00D53208">
        <w:rPr>
          <w:rFonts w:cs="Arial"/>
          <w:szCs w:val="22"/>
        </w:rPr>
        <w:t xml:space="preserve">There are no direct financial implications. </w:t>
      </w:r>
    </w:p>
    <w:p w14:paraId="06EF1660" w14:textId="77777777" w:rsidR="00F43895" w:rsidRPr="00AE7D36" w:rsidRDefault="00F43895" w:rsidP="00D72071">
      <w:pPr>
        <w:ind w:left="360"/>
        <w:rPr>
          <w:rFonts w:cs="Arial"/>
          <w:caps/>
          <w:color w:val="2E74B5"/>
        </w:rPr>
      </w:pPr>
      <w:r w:rsidRPr="00AE7D36">
        <w:rPr>
          <w:rFonts w:cs="Arial"/>
          <w:i/>
          <w:color w:val="2E74B5"/>
        </w:rPr>
        <w:t xml:space="preserve"> </w:t>
      </w:r>
    </w:p>
    <w:p w14:paraId="1D3A0AFD" w14:textId="77777777" w:rsidR="00F43895" w:rsidRPr="00AE7D36" w:rsidRDefault="00F43895" w:rsidP="00F43895">
      <w:pPr>
        <w:rPr>
          <w:rFonts w:cs="Arial"/>
          <w:b/>
          <w:color w:val="2E74B5"/>
        </w:rPr>
      </w:pPr>
    </w:p>
    <w:p w14:paraId="56C44288" w14:textId="77777777" w:rsidR="00F43895" w:rsidRPr="00AE7D36" w:rsidRDefault="00D72071" w:rsidP="00F43895">
      <w:pPr>
        <w:rPr>
          <w:rFonts w:cs="Arial"/>
          <w:b/>
          <w:caps/>
        </w:rPr>
      </w:pPr>
      <w:r w:rsidRPr="00AE7D36">
        <w:rPr>
          <w:rFonts w:cs="Arial"/>
          <w:b/>
          <w:caps/>
        </w:rPr>
        <w:t>8</w:t>
      </w:r>
      <w:r w:rsidR="00F43895" w:rsidRPr="00AE7D36">
        <w:rPr>
          <w:rFonts w:cs="Arial"/>
          <w:b/>
          <w:caps/>
        </w:rPr>
        <w:t>.    LEGAL IMPLICATIONS</w:t>
      </w:r>
    </w:p>
    <w:p w14:paraId="42394535" w14:textId="77777777" w:rsidR="00EE3C07" w:rsidRDefault="00364401" w:rsidP="00EE3C07">
      <w:r>
        <w:t xml:space="preserve">8.1 </w:t>
      </w:r>
      <w:r w:rsidR="00EE3C07">
        <w:t xml:space="preserve">As a result of the standing order, the parties entered into a Consent Order </w:t>
      </w:r>
      <w:r>
        <w:t xml:space="preserve">which set aside the decision of the panel and </w:t>
      </w:r>
      <w:r w:rsidR="00EE3C07">
        <w:t>which has been approved by the Court</w:t>
      </w:r>
      <w:r>
        <w:t>.</w:t>
      </w:r>
      <w:r w:rsidR="00EE3C07">
        <w:t xml:space="preserve"> </w:t>
      </w:r>
    </w:p>
    <w:p w14:paraId="2A20C804" w14:textId="77777777" w:rsidR="00EE3C07" w:rsidRPr="009C4544" w:rsidRDefault="00EE3C07" w:rsidP="00F43895">
      <w:pPr>
        <w:rPr>
          <w:rFonts w:asciiTheme="minorHAnsi" w:hAnsiTheme="minorHAnsi" w:cs="Arial"/>
          <w:b/>
          <w:caps/>
        </w:rPr>
      </w:pPr>
    </w:p>
    <w:p w14:paraId="46A5F90D" w14:textId="77777777" w:rsidR="00F43895" w:rsidRDefault="00D72071" w:rsidP="00F43895">
      <w:pPr>
        <w:rPr>
          <w:rFonts w:cs="Arial"/>
          <w:b/>
        </w:rPr>
      </w:pPr>
      <w:r w:rsidRPr="00AE7D36">
        <w:rPr>
          <w:rFonts w:cs="Arial"/>
          <w:b/>
        </w:rPr>
        <w:t>9</w:t>
      </w:r>
      <w:r w:rsidR="00F43895" w:rsidRPr="00AE7D36">
        <w:rPr>
          <w:rFonts w:cs="Arial"/>
          <w:b/>
        </w:rPr>
        <w:t>.  COMMENTS OF THE STATUTORY FINANCE OFFICER</w:t>
      </w:r>
    </w:p>
    <w:p w14:paraId="68503905" w14:textId="77777777" w:rsidR="006442D2" w:rsidRPr="00AE7D36" w:rsidRDefault="006442D2" w:rsidP="00F43895">
      <w:pPr>
        <w:rPr>
          <w:rFonts w:cs="Arial"/>
          <w:b/>
        </w:rPr>
      </w:pPr>
    </w:p>
    <w:p w14:paraId="68A851BA" w14:textId="77777777" w:rsidR="00BE2A3F" w:rsidRPr="00AE7D36" w:rsidRDefault="00A36FBF" w:rsidP="00F43895">
      <w:pPr>
        <w:rPr>
          <w:rFonts w:cs="Arial"/>
          <w:b/>
        </w:rPr>
      </w:pPr>
      <w:r>
        <w:rPr>
          <w:rFonts w:cs="Arial"/>
          <w:b/>
        </w:rPr>
        <w:t>The report is for information and has no financial implications.</w:t>
      </w:r>
    </w:p>
    <w:p w14:paraId="1C542F67" w14:textId="77777777" w:rsidR="00F43895" w:rsidRPr="00AE7D36" w:rsidRDefault="00BE2A3F" w:rsidP="00EA28EF">
      <w:pPr>
        <w:ind w:left="720" w:hanging="720"/>
        <w:rPr>
          <w:rFonts w:cs="Arial"/>
          <w:b/>
          <w:i/>
        </w:rPr>
      </w:pPr>
      <w:r w:rsidRPr="00AE7D36">
        <w:rPr>
          <w:rFonts w:cs="Arial"/>
        </w:rPr>
        <w:t xml:space="preserve">   </w:t>
      </w:r>
    </w:p>
    <w:p w14:paraId="64AB4C4C" w14:textId="77777777" w:rsidR="00F43895" w:rsidRDefault="00D72071" w:rsidP="00BE2A3F">
      <w:pPr>
        <w:rPr>
          <w:rFonts w:cs="Arial"/>
          <w:b/>
        </w:rPr>
      </w:pPr>
      <w:r w:rsidRPr="00AE7D36">
        <w:rPr>
          <w:rFonts w:cs="Arial"/>
          <w:b/>
        </w:rPr>
        <w:t>10</w:t>
      </w:r>
      <w:r w:rsidR="00BE2A3F" w:rsidRPr="00AE7D36">
        <w:rPr>
          <w:rFonts w:cs="Arial"/>
          <w:b/>
        </w:rPr>
        <w:t xml:space="preserve">.  </w:t>
      </w:r>
      <w:r w:rsidR="00F43895" w:rsidRPr="00AE7D36">
        <w:rPr>
          <w:rFonts w:cs="Arial"/>
          <w:b/>
        </w:rPr>
        <w:t>COMMENTS OF THE MONITORING OFFICER</w:t>
      </w:r>
    </w:p>
    <w:p w14:paraId="1A9ADD33" w14:textId="77777777" w:rsidR="006442D2" w:rsidRPr="00D53208" w:rsidRDefault="00364401" w:rsidP="00BE2A3F">
      <w:pPr>
        <w:rPr>
          <w:rFonts w:cs="Arial"/>
        </w:rPr>
      </w:pPr>
      <w:r w:rsidRPr="00D53208">
        <w:rPr>
          <w:rFonts w:cs="Arial"/>
        </w:rPr>
        <w:t>Please see the comments at 8.1 above.</w:t>
      </w:r>
    </w:p>
    <w:p w14:paraId="42249BFC" w14:textId="77777777" w:rsidR="006442D2" w:rsidRPr="00AE7D36" w:rsidRDefault="006442D2" w:rsidP="00BE2A3F">
      <w:pPr>
        <w:rPr>
          <w:rFonts w:cs="Arial"/>
          <w:b/>
        </w:rPr>
      </w:pPr>
    </w:p>
    <w:p w14:paraId="1180DDB4" w14:textId="77777777" w:rsidR="000B5251" w:rsidRPr="00AE7D36" w:rsidRDefault="00D72071" w:rsidP="000B5251">
      <w:pPr>
        <w:rPr>
          <w:rFonts w:cs="Arial"/>
          <w:b/>
          <w:szCs w:val="22"/>
        </w:rPr>
      </w:pPr>
      <w:r w:rsidRPr="00AE7D36">
        <w:rPr>
          <w:rFonts w:cs="Arial"/>
          <w:b/>
          <w:szCs w:val="22"/>
        </w:rPr>
        <w:t>1</w:t>
      </w:r>
      <w:r w:rsidR="004A36DA" w:rsidRPr="00AE7D36">
        <w:rPr>
          <w:rFonts w:cs="Arial"/>
          <w:b/>
          <w:szCs w:val="22"/>
        </w:rPr>
        <w:t>1</w:t>
      </w:r>
      <w:r w:rsidR="000B5251" w:rsidRPr="00AE7D36">
        <w:rPr>
          <w:rFonts w:cs="Arial"/>
          <w:b/>
          <w:szCs w:val="22"/>
        </w:rPr>
        <w:t xml:space="preserve">. OTHER IMPLICATIONS: </w:t>
      </w:r>
    </w:p>
    <w:p w14:paraId="17C5FCFD" w14:textId="77777777" w:rsidR="003C36EB" w:rsidRPr="00AE7D36" w:rsidRDefault="003C36EB" w:rsidP="000B5251">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A36FBF" w14:paraId="6A5C243D" w14:textId="77777777" w:rsidTr="009C1143">
        <w:trPr>
          <w:trHeight w:val="334"/>
        </w:trPr>
        <w:tc>
          <w:tcPr>
            <w:tcW w:w="3544" w:type="dxa"/>
            <w:shd w:val="clear" w:color="auto" w:fill="auto"/>
          </w:tcPr>
          <w:p w14:paraId="21872B09" w14:textId="77777777" w:rsidR="002F5C5E" w:rsidRPr="00AE7D36" w:rsidRDefault="002F5C5E" w:rsidP="00AC4A99">
            <w:pPr>
              <w:rPr>
                <w:rFonts w:cs="Arial"/>
                <w:b/>
                <w:szCs w:val="22"/>
              </w:rPr>
            </w:pPr>
          </w:p>
          <w:p w14:paraId="598AC9CA" w14:textId="77777777" w:rsidR="00A56681" w:rsidRPr="00AE7D36" w:rsidRDefault="00A56681" w:rsidP="00A56681">
            <w:pPr>
              <w:numPr>
                <w:ilvl w:val="0"/>
                <w:numId w:val="11"/>
              </w:numPr>
              <w:ind w:left="360"/>
              <w:rPr>
                <w:rFonts w:cs="Arial"/>
                <w:b/>
                <w:szCs w:val="22"/>
              </w:rPr>
            </w:pPr>
            <w:r w:rsidRPr="00AE7D36">
              <w:rPr>
                <w:rFonts w:cs="Arial"/>
                <w:b/>
                <w:szCs w:val="22"/>
              </w:rPr>
              <w:t xml:space="preserve">HR &amp; Organisational Development </w:t>
            </w:r>
          </w:p>
          <w:p w14:paraId="3C6C3C33" w14:textId="77777777" w:rsidR="00A56681" w:rsidRPr="00AE7D36" w:rsidRDefault="00A56681" w:rsidP="00A56681">
            <w:pPr>
              <w:ind w:left="360"/>
              <w:rPr>
                <w:rFonts w:cs="Arial"/>
                <w:b/>
                <w:szCs w:val="22"/>
              </w:rPr>
            </w:pPr>
          </w:p>
          <w:p w14:paraId="1F4E46FF" w14:textId="77777777" w:rsidR="00A56681" w:rsidRPr="00AE7D36" w:rsidRDefault="00A56681" w:rsidP="00A56681">
            <w:pPr>
              <w:numPr>
                <w:ilvl w:val="0"/>
                <w:numId w:val="11"/>
              </w:numPr>
              <w:ind w:left="360"/>
              <w:rPr>
                <w:rFonts w:cs="Arial"/>
                <w:b/>
                <w:szCs w:val="22"/>
              </w:rPr>
            </w:pPr>
            <w:r w:rsidRPr="00AE7D36">
              <w:rPr>
                <w:rFonts w:cs="Arial"/>
                <w:b/>
                <w:szCs w:val="22"/>
              </w:rPr>
              <w:t>ICT / Technology</w:t>
            </w:r>
          </w:p>
          <w:p w14:paraId="19066FA5" w14:textId="77777777" w:rsidR="002F5C5E" w:rsidRPr="00AE7D36" w:rsidRDefault="002F5C5E" w:rsidP="00A56681">
            <w:pPr>
              <w:ind w:left="360"/>
              <w:rPr>
                <w:rFonts w:cs="Arial"/>
                <w:b/>
                <w:szCs w:val="22"/>
              </w:rPr>
            </w:pPr>
          </w:p>
          <w:p w14:paraId="26F5B99A" w14:textId="77777777" w:rsidR="002F5C5E" w:rsidRPr="00AE7D36" w:rsidRDefault="002F5C5E" w:rsidP="0047741D">
            <w:pPr>
              <w:rPr>
                <w:rFonts w:cs="Arial"/>
                <w:b/>
                <w:szCs w:val="22"/>
              </w:rPr>
            </w:pPr>
          </w:p>
          <w:p w14:paraId="3BDE0650" w14:textId="77777777" w:rsidR="00A56681" w:rsidRPr="00AE7D36" w:rsidRDefault="00A56681" w:rsidP="00A56681">
            <w:pPr>
              <w:numPr>
                <w:ilvl w:val="0"/>
                <w:numId w:val="11"/>
              </w:numPr>
              <w:ind w:left="360"/>
              <w:rPr>
                <w:rFonts w:cs="Arial"/>
                <w:b/>
                <w:szCs w:val="22"/>
              </w:rPr>
            </w:pPr>
            <w:r w:rsidRPr="00AE7D36">
              <w:rPr>
                <w:rFonts w:cs="Arial"/>
                <w:b/>
                <w:szCs w:val="22"/>
              </w:rPr>
              <w:t>Property &amp; Asset Management</w:t>
            </w:r>
          </w:p>
          <w:p w14:paraId="4FA4FBD6" w14:textId="77777777" w:rsidR="00A56681" w:rsidRPr="00AE7D36" w:rsidRDefault="00A56681" w:rsidP="00A56681">
            <w:pPr>
              <w:ind w:left="360"/>
              <w:rPr>
                <w:rFonts w:cs="Arial"/>
                <w:b/>
                <w:szCs w:val="22"/>
              </w:rPr>
            </w:pPr>
          </w:p>
          <w:p w14:paraId="075E133E" w14:textId="77777777" w:rsidR="002F5C5E" w:rsidRPr="00AE7D36" w:rsidRDefault="00A56681" w:rsidP="0047741D">
            <w:pPr>
              <w:numPr>
                <w:ilvl w:val="0"/>
                <w:numId w:val="11"/>
              </w:numPr>
              <w:ind w:left="360"/>
              <w:rPr>
                <w:rFonts w:cs="Arial"/>
                <w:b/>
                <w:szCs w:val="22"/>
              </w:rPr>
            </w:pPr>
            <w:r w:rsidRPr="00AE7D36">
              <w:rPr>
                <w:rFonts w:cs="Arial"/>
                <w:b/>
                <w:szCs w:val="22"/>
              </w:rPr>
              <w:t xml:space="preserve">Risk </w:t>
            </w:r>
          </w:p>
          <w:p w14:paraId="3F14E47A" w14:textId="77777777" w:rsidR="003C36EB" w:rsidRPr="00AE7D36" w:rsidRDefault="003C36EB" w:rsidP="0047741D">
            <w:pPr>
              <w:rPr>
                <w:rFonts w:cs="Arial"/>
                <w:b/>
                <w:szCs w:val="22"/>
              </w:rPr>
            </w:pPr>
          </w:p>
          <w:p w14:paraId="1F8DE394" w14:textId="77777777" w:rsidR="002F5C5E" w:rsidRPr="00AE7D36" w:rsidRDefault="00A56681" w:rsidP="00A56681">
            <w:pPr>
              <w:numPr>
                <w:ilvl w:val="0"/>
                <w:numId w:val="11"/>
              </w:numPr>
              <w:ind w:left="360"/>
              <w:rPr>
                <w:rFonts w:cs="Arial"/>
                <w:b/>
                <w:szCs w:val="22"/>
              </w:rPr>
            </w:pPr>
            <w:r w:rsidRPr="00AE7D36">
              <w:rPr>
                <w:rFonts w:cs="Arial"/>
                <w:b/>
                <w:szCs w:val="22"/>
              </w:rPr>
              <w:t xml:space="preserve">Equality &amp; Diversity </w:t>
            </w:r>
          </w:p>
          <w:p w14:paraId="216074A4" w14:textId="77777777" w:rsidR="00A56681" w:rsidRPr="00AE7D36" w:rsidRDefault="00A56681" w:rsidP="00A56681">
            <w:pPr>
              <w:rPr>
                <w:rFonts w:cs="Arial"/>
                <w:b/>
                <w:szCs w:val="22"/>
              </w:rPr>
            </w:pPr>
          </w:p>
          <w:p w14:paraId="0C67832F" w14:textId="77777777" w:rsidR="002F5C5E" w:rsidRPr="00AE7D36" w:rsidRDefault="002F5C5E" w:rsidP="008639CE">
            <w:pPr>
              <w:rPr>
                <w:rFonts w:cs="Arial"/>
                <w:szCs w:val="22"/>
              </w:rPr>
            </w:pPr>
          </w:p>
        </w:tc>
        <w:tc>
          <w:tcPr>
            <w:tcW w:w="6379" w:type="dxa"/>
            <w:shd w:val="clear" w:color="auto" w:fill="auto"/>
          </w:tcPr>
          <w:p w14:paraId="7A20601D" w14:textId="77777777" w:rsidR="002F5C5E" w:rsidRPr="00AE7D36" w:rsidRDefault="002F5C5E" w:rsidP="00AC4A99">
            <w:pPr>
              <w:rPr>
                <w:rFonts w:cs="Arial"/>
                <w:szCs w:val="22"/>
              </w:rPr>
            </w:pPr>
          </w:p>
          <w:p w14:paraId="471421A9" w14:textId="77777777" w:rsidR="00F43895" w:rsidRPr="00AE7D36" w:rsidRDefault="00F43895" w:rsidP="00AC4A99">
            <w:pPr>
              <w:rPr>
                <w:rFonts w:cs="Arial"/>
                <w:i/>
                <w:color w:val="2E74B5" w:themeColor="accent1" w:themeShade="BF"/>
                <w:szCs w:val="22"/>
              </w:rPr>
            </w:pPr>
          </w:p>
        </w:tc>
      </w:tr>
    </w:tbl>
    <w:p w14:paraId="6BE71BD0" w14:textId="77777777" w:rsidR="00A36FBF" w:rsidRDefault="00A36FBF" w:rsidP="002F5C5E">
      <w:pPr>
        <w:rPr>
          <w:rFonts w:cs="Arial"/>
          <w:b/>
          <w:szCs w:val="22"/>
        </w:rPr>
      </w:pPr>
    </w:p>
    <w:p w14:paraId="1C22EABC" w14:textId="77777777" w:rsidR="002F5C5E" w:rsidRPr="00AE7D36" w:rsidRDefault="00D72071" w:rsidP="002F5C5E">
      <w:pPr>
        <w:rPr>
          <w:rFonts w:cs="Arial"/>
          <w:b/>
          <w:szCs w:val="22"/>
        </w:rPr>
      </w:pPr>
      <w:r w:rsidRPr="00AE7D36">
        <w:rPr>
          <w:rFonts w:cs="Arial"/>
          <w:b/>
          <w:szCs w:val="22"/>
        </w:rPr>
        <w:t>12</w:t>
      </w:r>
      <w:r w:rsidR="000B5251" w:rsidRPr="00AE7D36">
        <w:rPr>
          <w:rFonts w:cs="Arial"/>
          <w:b/>
          <w:szCs w:val="22"/>
        </w:rPr>
        <w:t>. BACKGROUND DOCUMENTS (or T</w:t>
      </w:r>
      <w:r w:rsidR="002F5C5E" w:rsidRPr="00AE7D36">
        <w:rPr>
          <w:rFonts w:cs="Arial"/>
          <w:b/>
          <w:szCs w:val="22"/>
        </w:rPr>
        <w:t>here are no background papers to this report)</w:t>
      </w:r>
    </w:p>
    <w:p w14:paraId="0293DEA1" w14:textId="77777777" w:rsidR="000B5251" w:rsidRPr="00AE7D36" w:rsidRDefault="000B5251" w:rsidP="002F5C5E">
      <w:pPr>
        <w:rPr>
          <w:rFonts w:cs="Arial"/>
          <w:szCs w:val="22"/>
        </w:rPr>
      </w:pPr>
    </w:p>
    <w:p w14:paraId="7DD08008" w14:textId="77777777" w:rsidR="000B5251" w:rsidRDefault="00D72071" w:rsidP="000B5251">
      <w:pPr>
        <w:rPr>
          <w:rFonts w:cs="Arial"/>
          <w:b/>
        </w:rPr>
      </w:pPr>
      <w:r w:rsidRPr="00AE7D36">
        <w:rPr>
          <w:rFonts w:cs="Arial"/>
          <w:b/>
        </w:rPr>
        <w:t>13</w:t>
      </w:r>
      <w:r w:rsidR="000B5251" w:rsidRPr="00AE7D36">
        <w:rPr>
          <w:rFonts w:cs="Arial"/>
          <w:b/>
        </w:rPr>
        <w:t xml:space="preserve">. APPENDICES </w:t>
      </w:r>
    </w:p>
    <w:p w14:paraId="42CC9FEE" w14:textId="77777777" w:rsidR="00A36FBF" w:rsidRDefault="00A36FBF" w:rsidP="000B5251">
      <w:pPr>
        <w:rPr>
          <w:rFonts w:cs="Arial"/>
          <w:b/>
        </w:rPr>
      </w:pPr>
    </w:p>
    <w:p w14:paraId="3F2042F4" w14:textId="136E5CBD" w:rsidR="00A36FBF" w:rsidRPr="00AE7D36" w:rsidRDefault="00A36FBF" w:rsidP="000B5251">
      <w:pPr>
        <w:rPr>
          <w:rFonts w:cs="Arial"/>
          <w:b/>
        </w:rPr>
      </w:pPr>
      <w:r w:rsidRPr="006442D2">
        <w:rPr>
          <w:rFonts w:cs="Arial"/>
          <w:b/>
        </w:rPr>
        <w:t>Appendix 1</w:t>
      </w:r>
      <w:r>
        <w:rPr>
          <w:rFonts w:cs="Arial"/>
          <w:b/>
        </w:rPr>
        <w:t xml:space="preserve"> </w:t>
      </w:r>
    </w:p>
    <w:p w14:paraId="53B56E25" w14:textId="77777777" w:rsidR="00EA28EF" w:rsidRPr="00AE7D36" w:rsidRDefault="00EA28EF" w:rsidP="000B5251">
      <w:pPr>
        <w:rPr>
          <w:rFonts w:cs="Arial"/>
          <w:b/>
        </w:rPr>
      </w:pPr>
    </w:p>
    <w:p w14:paraId="724F63AB" w14:textId="77777777" w:rsidR="000B5251" w:rsidRPr="00AE7D36" w:rsidRDefault="00EA28EF" w:rsidP="000B5251">
      <w:pPr>
        <w:ind w:left="720" w:hanging="720"/>
        <w:rPr>
          <w:rFonts w:cs="Arial"/>
          <w:i/>
        </w:rPr>
      </w:pPr>
      <w:r w:rsidRPr="00AE7D36">
        <w:rPr>
          <w:rFonts w:cs="Arial"/>
          <w:i/>
        </w:rPr>
        <w:t xml:space="preserve"> </w:t>
      </w:r>
    </w:p>
    <w:p w14:paraId="6AAF9C57" w14:textId="77777777" w:rsidR="001C5E49" w:rsidRPr="009C4544" w:rsidRDefault="001C5E49" w:rsidP="000B5251">
      <w:pPr>
        <w:tabs>
          <w:tab w:val="left" w:pos="2839"/>
        </w:tabs>
        <w:rPr>
          <w:rFonts w:asciiTheme="minorHAnsi" w:hAnsiTheme="minorHAnsi"/>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5"/>
        <w:gridCol w:w="2350"/>
      </w:tblGrid>
      <w:tr w:rsidR="001C5E49" w:rsidRPr="00A36FBF" w14:paraId="7E27FC53" w14:textId="77777777" w:rsidTr="00EA28EF">
        <w:tc>
          <w:tcPr>
            <w:tcW w:w="5615" w:type="dxa"/>
            <w:shd w:val="clear" w:color="auto" w:fill="auto"/>
          </w:tcPr>
          <w:p w14:paraId="6E0DB44F" w14:textId="77777777" w:rsidR="001C5E49" w:rsidRPr="00AE7D36" w:rsidRDefault="001C5E49" w:rsidP="00E2196F">
            <w:pPr>
              <w:rPr>
                <w:rFonts w:cs="Arial"/>
              </w:rPr>
            </w:pPr>
            <w:r w:rsidRPr="00AE7D36">
              <w:rPr>
                <w:rFonts w:cs="Arial"/>
              </w:rPr>
              <w:t>Report Author:</w:t>
            </w:r>
          </w:p>
        </w:tc>
        <w:tc>
          <w:tcPr>
            <w:tcW w:w="1555" w:type="dxa"/>
            <w:shd w:val="clear" w:color="auto" w:fill="auto"/>
          </w:tcPr>
          <w:p w14:paraId="1ECB1A76" w14:textId="77777777" w:rsidR="001C5E49" w:rsidRPr="00AE7D36" w:rsidRDefault="001C5E49" w:rsidP="00E2196F">
            <w:pPr>
              <w:rPr>
                <w:rFonts w:cs="Arial"/>
              </w:rPr>
            </w:pPr>
            <w:r w:rsidRPr="00AE7D36">
              <w:rPr>
                <w:rFonts w:cs="Arial"/>
              </w:rPr>
              <w:t>Telephone:</w:t>
            </w:r>
          </w:p>
        </w:tc>
        <w:tc>
          <w:tcPr>
            <w:tcW w:w="2350" w:type="dxa"/>
            <w:shd w:val="clear" w:color="auto" w:fill="auto"/>
          </w:tcPr>
          <w:p w14:paraId="70C2D9BC" w14:textId="77777777" w:rsidR="001C5E49" w:rsidRPr="00AE7D36" w:rsidRDefault="001C5E49" w:rsidP="00E2196F">
            <w:pPr>
              <w:rPr>
                <w:rFonts w:cs="Arial"/>
              </w:rPr>
            </w:pPr>
            <w:r w:rsidRPr="00AE7D36">
              <w:rPr>
                <w:rFonts w:cs="Arial"/>
              </w:rPr>
              <w:t>Date:</w:t>
            </w:r>
          </w:p>
        </w:tc>
      </w:tr>
      <w:tr w:rsidR="00C903AC" w:rsidRPr="00A36FBF" w14:paraId="531D0608" w14:textId="77777777" w:rsidTr="00EA28EF">
        <w:tc>
          <w:tcPr>
            <w:tcW w:w="5615" w:type="dxa"/>
            <w:shd w:val="clear" w:color="auto" w:fill="auto"/>
          </w:tcPr>
          <w:p w14:paraId="5F08063E" w14:textId="0BE87F07" w:rsidR="00C903AC" w:rsidRPr="00AE7D36" w:rsidRDefault="008639CE" w:rsidP="008639CE">
            <w:pPr>
              <w:rPr>
                <w:rFonts w:cs="Arial"/>
              </w:rPr>
            </w:pPr>
            <w:r w:rsidRPr="00AE7D36">
              <w:rPr>
                <w:rFonts w:cs="Arial"/>
              </w:rPr>
              <w:t>Mark Marshall</w:t>
            </w:r>
            <w:r w:rsidR="001835E6">
              <w:rPr>
                <w:rFonts w:cs="Arial"/>
              </w:rPr>
              <w:t>, Head of Licensing</w:t>
            </w:r>
          </w:p>
        </w:tc>
        <w:tc>
          <w:tcPr>
            <w:tcW w:w="1555" w:type="dxa"/>
            <w:shd w:val="clear" w:color="auto" w:fill="auto"/>
          </w:tcPr>
          <w:p w14:paraId="51E46FBC" w14:textId="77777777" w:rsidR="00C903AC" w:rsidRPr="00AE7D36" w:rsidRDefault="008639CE" w:rsidP="00C903AC">
            <w:pPr>
              <w:rPr>
                <w:rFonts w:cs="Arial"/>
              </w:rPr>
            </w:pPr>
            <w:r w:rsidRPr="00AE7D36">
              <w:rPr>
                <w:rFonts w:cs="Arial"/>
              </w:rPr>
              <w:t>01772 62</w:t>
            </w:r>
            <w:r w:rsidR="00EA28EF" w:rsidRPr="00AE7D36">
              <w:rPr>
                <w:rFonts w:cs="Arial"/>
              </w:rPr>
              <w:t>5401</w:t>
            </w:r>
          </w:p>
        </w:tc>
        <w:tc>
          <w:tcPr>
            <w:tcW w:w="2350" w:type="dxa"/>
            <w:shd w:val="clear" w:color="auto" w:fill="auto"/>
          </w:tcPr>
          <w:p w14:paraId="439F58C3" w14:textId="715DE424" w:rsidR="00C903AC" w:rsidRPr="00AE7D36" w:rsidRDefault="001835E6" w:rsidP="00C903AC">
            <w:pPr>
              <w:rPr>
                <w:rFonts w:cs="Arial"/>
              </w:rPr>
            </w:pPr>
            <w:r>
              <w:rPr>
                <w:rFonts w:cs="Arial"/>
              </w:rPr>
              <w:t>31 May 2019</w:t>
            </w:r>
          </w:p>
        </w:tc>
      </w:tr>
    </w:tbl>
    <w:p w14:paraId="1B7D4EE7" w14:textId="77777777" w:rsidR="001C5E49" w:rsidRPr="00AE7D36" w:rsidRDefault="001C5E49" w:rsidP="001C5E49">
      <w:pPr>
        <w:tabs>
          <w:tab w:val="left" w:pos="2839"/>
        </w:tabs>
        <w:rPr>
          <w:rFonts w:cs="Arial"/>
        </w:rPr>
      </w:pPr>
    </w:p>
    <w:sectPr w:rsidR="001C5E49" w:rsidRPr="00AE7D36"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8E530" w14:textId="77777777" w:rsidR="00077A35" w:rsidRDefault="00077A35">
      <w:r>
        <w:separator/>
      </w:r>
    </w:p>
  </w:endnote>
  <w:endnote w:type="continuationSeparator" w:id="0">
    <w:p w14:paraId="2413AF80" w14:textId="77777777" w:rsidR="00077A35" w:rsidRDefault="0007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ED20"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113EE0">
      <w:rPr>
        <w:noProof/>
        <w:sz w:val="24"/>
      </w:rPr>
      <w:t>1</w:t>
    </w:r>
    <w:r w:rsidRPr="00FD7B65">
      <w:rPr>
        <w:noProof/>
        <w:sz w:val="24"/>
      </w:rPr>
      <w:fldChar w:fldCharType="end"/>
    </w:r>
  </w:p>
  <w:p w14:paraId="0C19A597"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3A949" w14:textId="77777777" w:rsidR="00077A35" w:rsidRDefault="00077A35">
      <w:r>
        <w:separator/>
      </w:r>
    </w:p>
  </w:footnote>
  <w:footnote w:type="continuationSeparator" w:id="0">
    <w:p w14:paraId="0164ED35" w14:textId="77777777" w:rsidR="00077A35" w:rsidRDefault="00077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0"/>
  </w:num>
  <w:num w:numId="2">
    <w:abstractNumId w:val="12"/>
  </w:num>
  <w:num w:numId="3">
    <w:abstractNumId w:val="13"/>
  </w:num>
  <w:num w:numId="4">
    <w:abstractNumId w:val="8"/>
  </w:num>
  <w:num w:numId="5">
    <w:abstractNumId w:val="11"/>
  </w:num>
  <w:num w:numId="6">
    <w:abstractNumId w:val="6"/>
  </w:num>
  <w:num w:numId="7">
    <w:abstractNumId w:val="4"/>
  </w:num>
  <w:num w:numId="8">
    <w:abstractNumId w:val="5"/>
  </w:num>
  <w:num w:numId="9">
    <w:abstractNumId w:val="1"/>
  </w:num>
  <w:num w:numId="10">
    <w:abstractNumId w:val="2"/>
  </w:num>
  <w:num w:numId="11">
    <w:abstractNumId w:val="3"/>
  </w:num>
  <w:num w:numId="12">
    <w:abstractNumId w:val="9"/>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47F24"/>
    <w:rsid w:val="00052B5A"/>
    <w:rsid w:val="00077A35"/>
    <w:rsid w:val="000B5251"/>
    <w:rsid w:val="000E10FE"/>
    <w:rsid w:val="000F2C8A"/>
    <w:rsid w:val="00113EE0"/>
    <w:rsid w:val="001544DD"/>
    <w:rsid w:val="00173D89"/>
    <w:rsid w:val="001835E6"/>
    <w:rsid w:val="00184E1D"/>
    <w:rsid w:val="001938D6"/>
    <w:rsid w:val="001A7FAA"/>
    <w:rsid w:val="001B5FEB"/>
    <w:rsid w:val="001C5E49"/>
    <w:rsid w:val="001E323B"/>
    <w:rsid w:val="001E4B07"/>
    <w:rsid w:val="001F5A1E"/>
    <w:rsid w:val="002221BD"/>
    <w:rsid w:val="0022443E"/>
    <w:rsid w:val="0025591B"/>
    <w:rsid w:val="002820A5"/>
    <w:rsid w:val="002B2179"/>
    <w:rsid w:val="002B2958"/>
    <w:rsid w:val="002E277F"/>
    <w:rsid w:val="002E4FF4"/>
    <w:rsid w:val="002F5C5E"/>
    <w:rsid w:val="003147A5"/>
    <w:rsid w:val="00342AB1"/>
    <w:rsid w:val="00345C71"/>
    <w:rsid w:val="00364401"/>
    <w:rsid w:val="00386AAD"/>
    <w:rsid w:val="003902A2"/>
    <w:rsid w:val="003A1B3F"/>
    <w:rsid w:val="003A1F0B"/>
    <w:rsid w:val="003A23D3"/>
    <w:rsid w:val="003A2919"/>
    <w:rsid w:val="003A53BC"/>
    <w:rsid w:val="003A6BFE"/>
    <w:rsid w:val="003B1E6D"/>
    <w:rsid w:val="003C36EB"/>
    <w:rsid w:val="003E33E6"/>
    <w:rsid w:val="003E35AB"/>
    <w:rsid w:val="003F5603"/>
    <w:rsid w:val="00405D4A"/>
    <w:rsid w:val="004205FE"/>
    <w:rsid w:val="004218EA"/>
    <w:rsid w:val="00431130"/>
    <w:rsid w:val="00442C46"/>
    <w:rsid w:val="00474DA8"/>
    <w:rsid w:val="0047741D"/>
    <w:rsid w:val="004A36DA"/>
    <w:rsid w:val="004A45D4"/>
    <w:rsid w:val="004C0685"/>
    <w:rsid w:val="004D7260"/>
    <w:rsid w:val="004F23B3"/>
    <w:rsid w:val="005041BB"/>
    <w:rsid w:val="00525728"/>
    <w:rsid w:val="00533525"/>
    <w:rsid w:val="00547120"/>
    <w:rsid w:val="00547481"/>
    <w:rsid w:val="00576A82"/>
    <w:rsid w:val="0058792F"/>
    <w:rsid w:val="005A26AD"/>
    <w:rsid w:val="005B0C36"/>
    <w:rsid w:val="005B2F09"/>
    <w:rsid w:val="005D4F59"/>
    <w:rsid w:val="0060374B"/>
    <w:rsid w:val="006206A5"/>
    <w:rsid w:val="00630F86"/>
    <w:rsid w:val="00633396"/>
    <w:rsid w:val="00633DEC"/>
    <w:rsid w:val="006442D2"/>
    <w:rsid w:val="00645A0B"/>
    <w:rsid w:val="006526B4"/>
    <w:rsid w:val="006555E6"/>
    <w:rsid w:val="00670423"/>
    <w:rsid w:val="00672165"/>
    <w:rsid w:val="006879CA"/>
    <w:rsid w:val="006B645E"/>
    <w:rsid w:val="006B7116"/>
    <w:rsid w:val="006C04C1"/>
    <w:rsid w:val="006C209A"/>
    <w:rsid w:val="006E09FB"/>
    <w:rsid w:val="006F2214"/>
    <w:rsid w:val="006F4CB4"/>
    <w:rsid w:val="006F76A3"/>
    <w:rsid w:val="00707E99"/>
    <w:rsid w:val="00712E3F"/>
    <w:rsid w:val="00713C35"/>
    <w:rsid w:val="00735025"/>
    <w:rsid w:val="00772B9C"/>
    <w:rsid w:val="00791954"/>
    <w:rsid w:val="00792A2B"/>
    <w:rsid w:val="007B4F12"/>
    <w:rsid w:val="007E39F1"/>
    <w:rsid w:val="00801695"/>
    <w:rsid w:val="008639CE"/>
    <w:rsid w:val="00893AD2"/>
    <w:rsid w:val="008A2F6B"/>
    <w:rsid w:val="008A42E3"/>
    <w:rsid w:val="008A77AB"/>
    <w:rsid w:val="008B41C5"/>
    <w:rsid w:val="008C3B1A"/>
    <w:rsid w:val="008D623F"/>
    <w:rsid w:val="008F4B91"/>
    <w:rsid w:val="008F7550"/>
    <w:rsid w:val="0090038C"/>
    <w:rsid w:val="0090542C"/>
    <w:rsid w:val="00914AB1"/>
    <w:rsid w:val="009350CB"/>
    <w:rsid w:val="009538AE"/>
    <w:rsid w:val="00980267"/>
    <w:rsid w:val="00983CD5"/>
    <w:rsid w:val="00992E79"/>
    <w:rsid w:val="009A714A"/>
    <w:rsid w:val="009C1143"/>
    <w:rsid w:val="009C4544"/>
    <w:rsid w:val="009E48E0"/>
    <w:rsid w:val="00A1406A"/>
    <w:rsid w:val="00A22D02"/>
    <w:rsid w:val="00A30426"/>
    <w:rsid w:val="00A36FBF"/>
    <w:rsid w:val="00A42C81"/>
    <w:rsid w:val="00A4702E"/>
    <w:rsid w:val="00A50754"/>
    <w:rsid w:val="00A56681"/>
    <w:rsid w:val="00A76482"/>
    <w:rsid w:val="00AC2185"/>
    <w:rsid w:val="00AC4A99"/>
    <w:rsid w:val="00AE1282"/>
    <w:rsid w:val="00AE7D36"/>
    <w:rsid w:val="00B05FE8"/>
    <w:rsid w:val="00B1788B"/>
    <w:rsid w:val="00B25D02"/>
    <w:rsid w:val="00B33005"/>
    <w:rsid w:val="00B443DD"/>
    <w:rsid w:val="00B51DB8"/>
    <w:rsid w:val="00B62D79"/>
    <w:rsid w:val="00B70B91"/>
    <w:rsid w:val="00B716F5"/>
    <w:rsid w:val="00B72A06"/>
    <w:rsid w:val="00B766C4"/>
    <w:rsid w:val="00B844C7"/>
    <w:rsid w:val="00B92298"/>
    <w:rsid w:val="00BA2606"/>
    <w:rsid w:val="00BC2417"/>
    <w:rsid w:val="00BC6635"/>
    <w:rsid w:val="00BE2A3F"/>
    <w:rsid w:val="00C013AD"/>
    <w:rsid w:val="00C022F9"/>
    <w:rsid w:val="00C209E3"/>
    <w:rsid w:val="00C2786F"/>
    <w:rsid w:val="00C30128"/>
    <w:rsid w:val="00C35FBD"/>
    <w:rsid w:val="00C42883"/>
    <w:rsid w:val="00C4454E"/>
    <w:rsid w:val="00C52450"/>
    <w:rsid w:val="00C53DF0"/>
    <w:rsid w:val="00C64ED1"/>
    <w:rsid w:val="00C66BAA"/>
    <w:rsid w:val="00C903AC"/>
    <w:rsid w:val="00CB32DF"/>
    <w:rsid w:val="00CB7C90"/>
    <w:rsid w:val="00CC3246"/>
    <w:rsid w:val="00CD6D16"/>
    <w:rsid w:val="00CE3DA1"/>
    <w:rsid w:val="00CE4482"/>
    <w:rsid w:val="00CF30BB"/>
    <w:rsid w:val="00CF6B60"/>
    <w:rsid w:val="00D03328"/>
    <w:rsid w:val="00D0463D"/>
    <w:rsid w:val="00D3426C"/>
    <w:rsid w:val="00D36638"/>
    <w:rsid w:val="00D37BAE"/>
    <w:rsid w:val="00D53208"/>
    <w:rsid w:val="00D72071"/>
    <w:rsid w:val="00D772AB"/>
    <w:rsid w:val="00D90A00"/>
    <w:rsid w:val="00D91845"/>
    <w:rsid w:val="00D9371C"/>
    <w:rsid w:val="00DB3FD0"/>
    <w:rsid w:val="00DE5E12"/>
    <w:rsid w:val="00E16646"/>
    <w:rsid w:val="00E2196F"/>
    <w:rsid w:val="00E2276E"/>
    <w:rsid w:val="00E41950"/>
    <w:rsid w:val="00E569CB"/>
    <w:rsid w:val="00E577A2"/>
    <w:rsid w:val="00E60A53"/>
    <w:rsid w:val="00E63940"/>
    <w:rsid w:val="00E67FB4"/>
    <w:rsid w:val="00E733A5"/>
    <w:rsid w:val="00E753EC"/>
    <w:rsid w:val="00E84459"/>
    <w:rsid w:val="00E971A2"/>
    <w:rsid w:val="00EA28EF"/>
    <w:rsid w:val="00EB0249"/>
    <w:rsid w:val="00EB2D32"/>
    <w:rsid w:val="00EB7C94"/>
    <w:rsid w:val="00ED257A"/>
    <w:rsid w:val="00ED6719"/>
    <w:rsid w:val="00EE3C07"/>
    <w:rsid w:val="00EF52A4"/>
    <w:rsid w:val="00F12001"/>
    <w:rsid w:val="00F3057A"/>
    <w:rsid w:val="00F30E9C"/>
    <w:rsid w:val="00F43895"/>
    <w:rsid w:val="00F55E4D"/>
    <w:rsid w:val="00F61752"/>
    <w:rsid w:val="00F67F95"/>
    <w:rsid w:val="00F96ABC"/>
    <w:rsid w:val="00FC6A1D"/>
    <w:rsid w:val="00FD41A3"/>
    <w:rsid w:val="00FD7B65"/>
    <w:rsid w:val="00FE2D6E"/>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C36057"/>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C42883"/>
    <w:pPr>
      <w:autoSpaceDE w:val="0"/>
      <w:autoSpaceDN w:val="0"/>
      <w:adjustRightInd w:val="0"/>
    </w:pPr>
    <w:rPr>
      <w:rFonts w:ascii="Arial" w:hAnsi="Arial" w:cs="Arial"/>
      <w:color w:val="000000"/>
      <w:sz w:val="24"/>
      <w:szCs w:val="24"/>
    </w:rPr>
  </w:style>
  <w:style w:type="paragraph" w:styleId="NoSpacing">
    <w:name w:val="No Spacing"/>
    <w:uiPriority w:val="1"/>
    <w:qFormat/>
    <w:rsid w:val="00A36FBF"/>
    <w:rPr>
      <w:rFonts w:ascii="Arial" w:hAnsi="Arial"/>
      <w:sz w:val="22"/>
    </w:rPr>
  </w:style>
  <w:style w:type="character" w:customStyle="1" w:styleId="HeaderChar">
    <w:name w:val="Header Char"/>
    <w:basedOn w:val="DefaultParagraphFont"/>
    <w:link w:val="Header"/>
    <w:rsid w:val="004205FE"/>
    <w:rPr>
      <w:rFonts w:ascii="Arial" w:hAnsi="Arial"/>
      <w:sz w:val="22"/>
    </w:rPr>
  </w:style>
  <w:style w:type="character" w:styleId="CommentReference">
    <w:name w:val="annotation reference"/>
    <w:basedOn w:val="DefaultParagraphFont"/>
    <w:uiPriority w:val="99"/>
    <w:semiHidden/>
    <w:unhideWhenUsed/>
    <w:rsid w:val="00FE2D6E"/>
    <w:rPr>
      <w:sz w:val="16"/>
      <w:szCs w:val="16"/>
    </w:rPr>
  </w:style>
  <w:style w:type="paragraph" w:styleId="CommentText">
    <w:name w:val="annotation text"/>
    <w:basedOn w:val="Normal"/>
    <w:link w:val="CommentTextChar"/>
    <w:uiPriority w:val="99"/>
    <w:semiHidden/>
    <w:unhideWhenUsed/>
    <w:rsid w:val="00FE2D6E"/>
    <w:rPr>
      <w:sz w:val="20"/>
    </w:rPr>
  </w:style>
  <w:style w:type="character" w:customStyle="1" w:styleId="CommentTextChar">
    <w:name w:val="Comment Text Char"/>
    <w:basedOn w:val="DefaultParagraphFont"/>
    <w:link w:val="CommentText"/>
    <w:uiPriority w:val="99"/>
    <w:semiHidden/>
    <w:rsid w:val="00FE2D6E"/>
    <w:rPr>
      <w:rFonts w:ascii="Arial" w:hAnsi="Arial"/>
    </w:rPr>
  </w:style>
  <w:style w:type="paragraph" w:styleId="CommentSubject">
    <w:name w:val="annotation subject"/>
    <w:basedOn w:val="CommentText"/>
    <w:next w:val="CommentText"/>
    <w:link w:val="CommentSubjectChar"/>
    <w:uiPriority w:val="99"/>
    <w:semiHidden/>
    <w:unhideWhenUsed/>
    <w:rsid w:val="00FE2D6E"/>
    <w:rPr>
      <w:b/>
      <w:bCs/>
    </w:rPr>
  </w:style>
  <w:style w:type="character" w:customStyle="1" w:styleId="CommentSubjectChar">
    <w:name w:val="Comment Subject Char"/>
    <w:basedOn w:val="CommentTextChar"/>
    <w:link w:val="CommentSubject"/>
    <w:uiPriority w:val="99"/>
    <w:semiHidden/>
    <w:rsid w:val="00FE2D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7631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2BC9-36D4-4471-A695-60950405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3</TotalTime>
  <Pages>3</Pages>
  <Words>483</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Astbury, Coral</cp:lastModifiedBy>
  <cp:revision>6</cp:revision>
  <cp:lastPrinted>2018-03-14T15:24:00Z</cp:lastPrinted>
  <dcterms:created xsi:type="dcterms:W3CDTF">2019-05-14T12:36:00Z</dcterms:created>
  <dcterms:modified xsi:type="dcterms:W3CDTF">2019-05-31T11:07:00Z</dcterms:modified>
</cp:coreProperties>
</file>